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2B542" w14:textId="77777777" w:rsidR="00805970" w:rsidRPr="00805970" w:rsidRDefault="00805970" w:rsidP="00805970">
      <w:pPr>
        <w:spacing w:line="480" w:lineRule="auto"/>
        <w:jc w:val="center"/>
        <w:rPr>
          <w:rFonts w:ascii="Times New Roman" w:hAnsi="Times New Roman" w:cs="Times New Roman"/>
          <w:bCs/>
          <w:noProof w:val="0"/>
          <w:sz w:val="24"/>
          <w:szCs w:val="24"/>
        </w:rPr>
      </w:pPr>
      <w:bookmarkStart w:id="0" w:name="_GoBack"/>
      <w:bookmarkEnd w:id="0"/>
      <w:commentRangeStart w:id="1"/>
      <w:r w:rsidRPr="00805970">
        <w:rPr>
          <w:rFonts w:ascii="Times New Roman" w:hAnsi="Times New Roman" w:cs="Times New Roman"/>
          <w:bCs/>
          <w:noProof w:val="0"/>
          <w:sz w:val="24"/>
          <w:szCs w:val="24"/>
        </w:rPr>
        <w:t>TABLE</w:t>
      </w:r>
      <w:commentRangeEnd w:id="1"/>
      <w:r w:rsidR="00843DC4">
        <w:rPr>
          <w:rStyle w:val="CommentReference"/>
        </w:rPr>
        <w:commentReference w:id="1"/>
      </w:r>
      <w:r w:rsidRPr="00805970">
        <w:rPr>
          <w:rFonts w:ascii="Times New Roman" w:hAnsi="Times New Roman" w:cs="Times New Roman"/>
          <w:bCs/>
          <w:noProof w:val="0"/>
          <w:sz w:val="24"/>
          <w:szCs w:val="24"/>
        </w:rPr>
        <w:t xml:space="preserve"> A2</w:t>
      </w:r>
    </w:p>
    <w:p w14:paraId="7DA09D62" w14:textId="0D5758FD" w:rsidR="00277E8B" w:rsidRPr="00676155" w:rsidRDefault="00805970" w:rsidP="00805970">
      <w:pPr>
        <w:spacing w:line="480" w:lineRule="auto"/>
        <w:jc w:val="center"/>
        <w:rPr>
          <w:rFonts w:ascii="Times New Roman" w:hAnsi="Times New Roman" w:cs="Times New Roman"/>
          <w:bCs/>
          <w:strike/>
          <w:noProof w:val="0"/>
          <w:sz w:val="24"/>
          <w:szCs w:val="24"/>
        </w:rPr>
      </w:pPr>
      <w:commentRangeStart w:id="2"/>
      <w:r w:rsidRPr="00805970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>employment</w:t>
      </w:r>
      <w:commentRangeEnd w:id="2"/>
      <w:r w:rsidR="00843DC4">
        <w:rPr>
          <w:rStyle w:val="CommentReference"/>
        </w:rPr>
        <w:commentReference w:id="2"/>
      </w:r>
      <w:r w:rsidRPr="00805970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 xml:space="preserve"> estimates </w:t>
      </w:r>
      <w:r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 xml:space="preserve">compared to </w:t>
      </w:r>
      <w:proofErr w:type="spellStart"/>
      <w:r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>craig</w:t>
      </w:r>
      <w:proofErr w:type="spellEnd"/>
      <w:r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 xml:space="preserve"> </w:t>
      </w:r>
      <w:proofErr w:type="spellStart"/>
      <w:r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>muldrew</w:t>
      </w:r>
      <w:proofErr w:type="spellEnd"/>
      <w:r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>,</w:t>
      </w:r>
      <w:r w:rsidRPr="00676155"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>‘“</w:t>
      </w:r>
      <w:proofErr w:type="spellStart"/>
      <w:r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>Th’Ancient</w:t>
      </w:r>
      <w:proofErr w:type="spellEnd"/>
      <w:r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 xml:space="preserve"> Distaff” and “Whirling Spindle”’</w:t>
      </w:r>
      <w:r w:rsidR="006F0FED" w:rsidRPr="00676155">
        <w:rPr>
          <w:rFonts w:ascii="Times New Roman" w:hAnsi="Times New Roman" w:cs="Times New Roman"/>
          <w:bCs/>
          <w:smallCaps/>
          <w:noProof w:val="0"/>
          <w:sz w:val="24"/>
          <w:szCs w:val="24"/>
        </w:rPr>
        <w:t>,</w:t>
      </w:r>
      <w:r w:rsidR="006F0FED" w:rsidRPr="00676155">
        <w:rPr>
          <w:rFonts w:ascii="Times New Roman" w:hAnsi="Times New Roman" w:cs="Times New Roman"/>
          <w:bCs/>
          <w:noProof w:val="0"/>
          <w:sz w:val="24"/>
          <w:szCs w:val="24"/>
        </w:rPr>
        <w:t xml:space="preserve"> </w:t>
      </w:r>
      <w:r w:rsidR="006F0FED" w:rsidRPr="00676155">
        <w:rPr>
          <w:rFonts w:ascii="Times New Roman" w:hAnsi="Times New Roman" w:cs="Times New Roman"/>
          <w:bCs/>
          <w:i/>
          <w:noProof w:val="0"/>
          <w:sz w:val="24"/>
          <w:szCs w:val="24"/>
        </w:rPr>
        <w:t>c.</w:t>
      </w:r>
      <w:r w:rsidR="006F0FED" w:rsidRPr="00676155">
        <w:rPr>
          <w:rFonts w:ascii="Times New Roman" w:hAnsi="Times New Roman" w:cs="Times New Roman"/>
          <w:bCs/>
          <w:noProof w:val="0"/>
          <w:sz w:val="24"/>
          <w:szCs w:val="24"/>
        </w:rPr>
        <w:t>1750–</w:t>
      </w:r>
      <w:r w:rsidR="006F0FED" w:rsidRPr="00676155">
        <w:rPr>
          <w:rFonts w:ascii="Times New Roman" w:hAnsi="Times New Roman" w:cs="Times New Roman"/>
          <w:bCs/>
          <w:i/>
          <w:noProof w:val="0"/>
          <w:sz w:val="24"/>
          <w:szCs w:val="24"/>
        </w:rPr>
        <w:t>c.</w:t>
      </w:r>
      <w:r w:rsidR="006F0FED" w:rsidRPr="00676155">
        <w:rPr>
          <w:rFonts w:ascii="Times New Roman" w:hAnsi="Times New Roman" w:cs="Times New Roman"/>
          <w:bCs/>
          <w:noProof w:val="0"/>
          <w:sz w:val="24"/>
          <w:szCs w:val="24"/>
        </w:rPr>
        <w:t>1770</w:t>
      </w:r>
      <w:r w:rsidR="00843DC4" w:rsidRPr="00676155">
        <w:rPr>
          <w:rFonts w:ascii="Times New Roman" w:hAnsi="Times New Roman" w:cs="Times New Roman"/>
          <w:bCs/>
          <w:noProof w:val="0"/>
          <w:sz w:val="24"/>
          <w:szCs w:val="24"/>
        </w:rPr>
        <w:t>*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1667"/>
        <w:gridCol w:w="1620"/>
        <w:gridCol w:w="1620"/>
        <w:gridCol w:w="1620"/>
        <w:gridCol w:w="1620"/>
      </w:tblGrid>
      <w:tr w:rsidR="00843DC4" w:rsidRPr="00805970" w14:paraId="2E592CE1" w14:textId="77777777" w:rsidTr="00CC3774">
        <w:trPr>
          <w:trHeight w:val="432"/>
        </w:trPr>
        <w:tc>
          <w:tcPr>
            <w:tcW w:w="1095" w:type="dxa"/>
            <w:vMerge w:val="restart"/>
            <w:tcBorders>
              <w:top w:val="single" w:sz="4" w:space="0" w:color="auto"/>
            </w:tcBorders>
          </w:tcPr>
          <w:p w14:paraId="15C2B4D6" w14:textId="77777777" w:rsidR="00843DC4" w:rsidRPr="00676155" w:rsidRDefault="00843DC4" w:rsidP="00843DC4">
            <w:pPr>
              <w:spacing w:line="48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commentRangeStart w:id="3"/>
            <w:r w:rsidRPr="00676155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Date</w:t>
            </w:r>
            <w:commentRangeEnd w:id="3"/>
            <w:r w:rsidRPr="00676155">
              <w:rPr>
                <w:rStyle w:val="CommentReference"/>
              </w:rPr>
              <w:commentReference w:id="3"/>
            </w:r>
            <w:r w:rsidRPr="00676155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 xml:space="preserve"> 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</w:tcBorders>
          </w:tcPr>
          <w:p w14:paraId="69A02F5C" w14:textId="77777777" w:rsidR="00843DC4" w:rsidRPr="00676155" w:rsidRDefault="00843DC4" w:rsidP="003F6E01">
            <w:pPr>
              <w:spacing w:line="48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commentRangeStart w:id="4"/>
            <w:proofErr w:type="spellStart"/>
            <w:r w:rsidRPr="00676155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Muldrew</w:t>
            </w:r>
            <w:commentRangeEnd w:id="4"/>
            <w:proofErr w:type="spellEnd"/>
            <w:r w:rsidRPr="00676155">
              <w:rPr>
                <w:rStyle w:val="CommentReference"/>
              </w:rPr>
              <w:commentReference w:id="4"/>
            </w:r>
            <w:r w:rsidRPr="00676155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 xml:space="preserve"> (wool)</w:t>
            </w: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4145D069" w14:textId="77777777" w:rsidR="00843DC4" w:rsidRPr="00676155" w:rsidRDefault="00843DC4" w:rsidP="003F6E01">
            <w:pPr>
              <w:spacing w:line="480" w:lineRule="auto"/>
              <w:rPr>
                <w:rFonts w:ascii="Times New Roman" w:hAnsi="Times New Roman" w:cs="Times New Roman"/>
                <w:bCs/>
                <w:strike/>
                <w:noProof w:val="0"/>
                <w:sz w:val="24"/>
                <w:szCs w:val="24"/>
              </w:rPr>
            </w:pPr>
            <w:r w:rsidRPr="00676155"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 xml:space="preserve">New estimate </w:t>
            </w:r>
          </w:p>
        </w:tc>
      </w:tr>
      <w:tr w:rsidR="00C0074A" w:rsidRPr="00805970" w14:paraId="7D9B3400" w14:textId="77777777" w:rsidTr="00E36A0C">
        <w:trPr>
          <w:trHeight w:val="432"/>
        </w:trPr>
        <w:tc>
          <w:tcPr>
            <w:tcW w:w="1095" w:type="dxa"/>
            <w:vMerge/>
            <w:tcBorders>
              <w:bottom w:val="single" w:sz="2" w:space="0" w:color="auto"/>
            </w:tcBorders>
          </w:tcPr>
          <w:p w14:paraId="2E1B7A52" w14:textId="77777777" w:rsidR="00C0074A" w:rsidRPr="00805970" w:rsidRDefault="00C0074A" w:rsidP="00805970">
            <w:pPr>
              <w:spacing w:line="48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bottom w:val="single" w:sz="2" w:space="0" w:color="auto"/>
            </w:tcBorders>
          </w:tcPr>
          <w:p w14:paraId="6F3079AC" w14:textId="77777777" w:rsidR="00C0074A" w:rsidRPr="00805970" w:rsidRDefault="00C0074A" w:rsidP="003F6E01">
            <w:pPr>
              <w:spacing w:line="48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2" w:space="0" w:color="auto"/>
            </w:tcBorders>
          </w:tcPr>
          <w:p w14:paraId="31B8AC2D" w14:textId="77777777" w:rsidR="00C0074A" w:rsidRPr="00805970" w:rsidRDefault="00C0074A" w:rsidP="003F6E01">
            <w:pPr>
              <w:spacing w:line="48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Wool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2" w:space="0" w:color="auto"/>
            </w:tcBorders>
          </w:tcPr>
          <w:p w14:paraId="14B21B62" w14:textId="77777777" w:rsidR="00C0074A" w:rsidRPr="00805970" w:rsidRDefault="00C0074A" w:rsidP="003F6E01">
            <w:pPr>
              <w:spacing w:line="48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Cotton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2" w:space="0" w:color="auto"/>
            </w:tcBorders>
          </w:tcPr>
          <w:p w14:paraId="0FD13AB3" w14:textId="77777777" w:rsidR="00C0074A" w:rsidRPr="00805970" w:rsidRDefault="00C0074A" w:rsidP="003F6E01">
            <w:pPr>
              <w:spacing w:line="48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Flax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2" w:space="0" w:color="auto"/>
            </w:tcBorders>
          </w:tcPr>
          <w:p w14:paraId="68C58C10" w14:textId="77777777" w:rsidR="00C0074A" w:rsidRPr="00805970" w:rsidRDefault="00C0074A" w:rsidP="003F6E01">
            <w:pPr>
              <w:spacing w:line="480" w:lineRule="auto"/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 w:val="0"/>
                <w:sz w:val="24"/>
                <w:szCs w:val="24"/>
              </w:rPr>
              <w:t>Total</w:t>
            </w:r>
          </w:p>
        </w:tc>
      </w:tr>
      <w:tr w:rsidR="00C0074A" w:rsidRPr="00805970" w14:paraId="2AFEC606" w14:textId="77777777" w:rsidTr="00843DC4">
        <w:trPr>
          <w:trHeight w:val="432"/>
        </w:trPr>
        <w:tc>
          <w:tcPr>
            <w:tcW w:w="1095" w:type="dxa"/>
            <w:tcBorders>
              <w:top w:val="single" w:sz="2" w:space="0" w:color="auto"/>
            </w:tcBorders>
            <w:vAlign w:val="center"/>
          </w:tcPr>
          <w:p w14:paraId="4626DD4F" w14:textId="77777777" w:rsidR="00277E8B" w:rsidRPr="00805970" w:rsidRDefault="00277E8B" w:rsidP="00805970">
            <w:pPr>
              <w:spacing w:line="480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i/>
                <w:iCs/>
                <w:noProof w:val="0"/>
                <w:sz w:val="24"/>
                <w:szCs w:val="24"/>
              </w:rPr>
              <w:t>c.</w:t>
            </w: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1750</w:t>
            </w:r>
          </w:p>
        </w:tc>
        <w:tc>
          <w:tcPr>
            <w:tcW w:w="1667" w:type="dxa"/>
            <w:tcBorders>
              <w:top w:val="single" w:sz="2" w:space="0" w:color="auto"/>
            </w:tcBorders>
          </w:tcPr>
          <w:p w14:paraId="5C04FC89" w14:textId="77777777" w:rsidR="00277E8B" w:rsidRPr="00805970" w:rsidRDefault="00277E8B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commentRangeStart w:id="5"/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651</w:t>
            </w:r>
            <w:commentRangeEnd w:id="5"/>
            <w:r w:rsidR="00843DC4">
              <w:rPr>
                <w:rStyle w:val="CommentReference"/>
              </w:rPr>
              <w:commentReference w:id="5"/>
            </w: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,038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4658EFA2" w14:textId="77777777" w:rsidR="00277E8B" w:rsidRPr="00805970" w:rsidRDefault="00277E8B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385,685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5CEDE7DA" w14:textId="77777777" w:rsidR="00277E8B" w:rsidRPr="00805970" w:rsidRDefault="00277E8B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44,128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2DE47368" w14:textId="77777777" w:rsidR="00277E8B" w:rsidRPr="00805970" w:rsidRDefault="00277E8B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107,872</w:t>
            </w:r>
          </w:p>
        </w:tc>
        <w:tc>
          <w:tcPr>
            <w:tcW w:w="1620" w:type="dxa"/>
            <w:tcBorders>
              <w:top w:val="single" w:sz="2" w:space="0" w:color="auto"/>
            </w:tcBorders>
          </w:tcPr>
          <w:p w14:paraId="302C351F" w14:textId="6564B406" w:rsidR="00277E8B" w:rsidRPr="00805970" w:rsidRDefault="00783E3A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5</w:t>
            </w:r>
            <w:r w:rsidR="00A36181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,</w:t>
            </w:r>
            <w:r w:rsidR="00A36181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685</w:t>
            </w:r>
          </w:p>
        </w:tc>
      </w:tr>
      <w:tr w:rsidR="00277E8B" w:rsidRPr="00805970" w14:paraId="5EF45276" w14:textId="77777777" w:rsidTr="00843DC4">
        <w:trPr>
          <w:trHeight w:val="432"/>
        </w:trPr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14:paraId="0AFF8CE7" w14:textId="77777777" w:rsidR="00277E8B" w:rsidRPr="00805970" w:rsidRDefault="00277E8B" w:rsidP="00805970">
            <w:pPr>
              <w:spacing w:line="480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i/>
                <w:iCs/>
                <w:noProof w:val="0"/>
                <w:sz w:val="24"/>
                <w:szCs w:val="24"/>
              </w:rPr>
              <w:t>c.</w:t>
            </w: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1770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08CD40A7" w14:textId="77777777" w:rsidR="00277E8B" w:rsidRPr="00805970" w:rsidRDefault="00277E8B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785,627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360C20" w14:textId="77777777" w:rsidR="00277E8B" w:rsidRPr="00805970" w:rsidRDefault="00277E8B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470,713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7C1013" w14:textId="77777777" w:rsidR="00277E8B" w:rsidRPr="00805970" w:rsidRDefault="00277E8B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64,052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818AAF" w14:textId="77777777" w:rsidR="00277E8B" w:rsidRPr="00805970" w:rsidRDefault="00277E8B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05970"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147,495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BB236FC" w14:textId="635B2C55" w:rsidR="00277E8B" w:rsidRPr="00805970" w:rsidRDefault="00783E3A" w:rsidP="007434AD">
            <w:pPr>
              <w:spacing w:line="480" w:lineRule="auto"/>
              <w:jc w:val="right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 w:val="0"/>
                <w:sz w:val="24"/>
                <w:szCs w:val="24"/>
              </w:rPr>
              <w:t>682,260</w:t>
            </w:r>
          </w:p>
        </w:tc>
      </w:tr>
    </w:tbl>
    <w:p w14:paraId="5E0C6ECE" w14:textId="35C86F5B" w:rsidR="00805970" w:rsidRPr="00805970" w:rsidRDefault="00843DC4" w:rsidP="00805970">
      <w:pPr>
        <w:spacing w:before="60" w:line="480" w:lineRule="auto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Arial" w:hAnsi="Arial" w:cs="Arial"/>
          <w:i/>
          <w:noProof w:val="0"/>
          <w:sz w:val="24"/>
          <w:szCs w:val="24"/>
        </w:rPr>
        <w:t> 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* </w:t>
      </w:r>
      <w:commentRangeStart w:id="6"/>
      <w:r w:rsidR="00805970" w:rsidRPr="00805970">
        <w:rPr>
          <w:rFonts w:ascii="Times New Roman" w:hAnsi="Times New Roman" w:cs="Times New Roman"/>
          <w:i/>
          <w:noProof w:val="0"/>
          <w:sz w:val="24"/>
          <w:szCs w:val="24"/>
        </w:rPr>
        <w:t>Note</w:t>
      </w:r>
      <w:commentRangeEnd w:id="6"/>
      <w:r>
        <w:rPr>
          <w:rStyle w:val="CommentReference"/>
        </w:rPr>
        <w:commentReference w:id="6"/>
      </w:r>
      <w:r w:rsidR="00805970" w:rsidRPr="00805970">
        <w:rPr>
          <w:rFonts w:ascii="Times New Roman" w:hAnsi="Times New Roman" w:cs="Times New Roman"/>
          <w:noProof w:val="0"/>
          <w:sz w:val="24"/>
          <w:szCs w:val="24"/>
        </w:rPr>
        <w:t xml:space="preserve">: </w:t>
      </w:r>
      <w:proofErr w:type="spellStart"/>
      <w:r w:rsidR="00805970" w:rsidRPr="00805970">
        <w:rPr>
          <w:rFonts w:ascii="Times New Roman" w:hAnsi="Times New Roman" w:cs="Times New Roman"/>
          <w:noProof w:val="0"/>
          <w:sz w:val="24"/>
          <w:szCs w:val="24"/>
        </w:rPr>
        <w:t>Muldrew’s</w:t>
      </w:r>
      <w:proofErr w:type="spellEnd"/>
      <w:r w:rsidR="00805970" w:rsidRPr="00805970">
        <w:rPr>
          <w:rFonts w:ascii="Times New Roman" w:hAnsi="Times New Roman" w:cs="Times New Roman"/>
          <w:noProof w:val="0"/>
          <w:sz w:val="24"/>
          <w:szCs w:val="24"/>
        </w:rPr>
        <w:t xml:space="preserve"> estimates are for England only and use a 210-day working year, while the estimates constructed in </w:t>
      </w:r>
      <w:r w:rsidR="00805970" w:rsidRPr="009A6F2D">
        <w:rPr>
          <w:rFonts w:ascii="Times New Roman" w:hAnsi="Times New Roman" w:cs="Times New Roman"/>
          <w:noProof w:val="0"/>
          <w:sz w:val="24"/>
          <w:szCs w:val="24"/>
        </w:rPr>
        <w:t>this article are for Great Britain and this table displays the 150-day working year figures and the eleven-year</w:t>
      </w:r>
      <w:r w:rsidR="00805970" w:rsidRPr="00805970">
        <w:rPr>
          <w:rFonts w:ascii="Times New Roman" w:hAnsi="Times New Roman" w:cs="Times New Roman"/>
          <w:noProof w:val="0"/>
          <w:sz w:val="24"/>
          <w:szCs w:val="24"/>
        </w:rPr>
        <w:t xml:space="preserve"> moving average centred on the year in question.</w:t>
      </w:r>
    </w:p>
    <w:p w14:paraId="1E03AAEE" w14:textId="0B4A7D85" w:rsidR="00277E8B" w:rsidRPr="00805970" w:rsidRDefault="00843DC4" w:rsidP="00805970">
      <w:pPr>
        <w:spacing w:before="60" w:line="480" w:lineRule="auto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Arial" w:hAnsi="Arial" w:cs="Arial"/>
          <w:noProof w:val="0"/>
          <w:sz w:val="24"/>
          <w:szCs w:val="24"/>
        </w:rPr>
        <w:t> 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* </w:t>
      </w:r>
      <w:commentRangeStart w:id="7"/>
      <w:r w:rsidR="00277E8B" w:rsidRPr="00805970">
        <w:rPr>
          <w:rFonts w:ascii="Times New Roman" w:hAnsi="Times New Roman" w:cs="Times New Roman"/>
          <w:i/>
          <w:noProof w:val="0"/>
          <w:sz w:val="24"/>
          <w:szCs w:val="24"/>
        </w:rPr>
        <w:t>Source</w:t>
      </w:r>
      <w:commentRangeEnd w:id="7"/>
      <w:r>
        <w:rPr>
          <w:rStyle w:val="CommentReference"/>
        </w:rPr>
        <w:commentReference w:id="7"/>
      </w:r>
      <w:r w:rsidR="006D07A7">
        <w:rPr>
          <w:rFonts w:ascii="Times New Roman" w:hAnsi="Times New Roman" w:cs="Times New Roman"/>
          <w:i/>
          <w:noProof w:val="0"/>
          <w:sz w:val="24"/>
          <w:szCs w:val="24"/>
        </w:rPr>
        <w:t>s</w:t>
      </w:r>
      <w:r w:rsidR="00277E8B" w:rsidRPr="00805970">
        <w:rPr>
          <w:rFonts w:ascii="Times New Roman" w:hAnsi="Times New Roman" w:cs="Times New Roman"/>
          <w:noProof w:val="0"/>
          <w:sz w:val="24"/>
          <w:szCs w:val="24"/>
        </w:rPr>
        <w:t xml:space="preserve">: </w:t>
      </w:r>
      <w:r w:rsidR="00805970" w:rsidRPr="009A6F2D">
        <w:rPr>
          <w:rFonts w:ascii="Times New Roman" w:hAnsi="Times New Roman" w:cs="Times New Roman"/>
          <w:noProof w:val="0"/>
          <w:sz w:val="24"/>
          <w:szCs w:val="24"/>
        </w:rPr>
        <w:t xml:space="preserve">Craig </w:t>
      </w:r>
      <w:proofErr w:type="spellStart"/>
      <w:r w:rsidR="00805970" w:rsidRPr="009A6F2D">
        <w:rPr>
          <w:rFonts w:ascii="Times New Roman" w:hAnsi="Times New Roman" w:cs="Times New Roman"/>
          <w:noProof w:val="0"/>
          <w:sz w:val="24"/>
          <w:szCs w:val="24"/>
        </w:rPr>
        <w:t>Muldrew</w:t>
      </w:r>
      <w:proofErr w:type="spellEnd"/>
      <w:r w:rsidR="00805970" w:rsidRPr="009A6F2D">
        <w:rPr>
          <w:rFonts w:ascii="Times New Roman" w:hAnsi="Times New Roman" w:cs="Times New Roman"/>
          <w:noProof w:val="0"/>
          <w:sz w:val="24"/>
          <w:szCs w:val="24"/>
        </w:rPr>
        <w:t>, ‘“</w:t>
      </w:r>
      <w:proofErr w:type="spellStart"/>
      <w:r w:rsidR="00805970" w:rsidRPr="009A6F2D">
        <w:rPr>
          <w:rFonts w:ascii="Times New Roman" w:hAnsi="Times New Roman" w:cs="Times New Roman"/>
          <w:noProof w:val="0"/>
          <w:sz w:val="24"/>
          <w:szCs w:val="24"/>
        </w:rPr>
        <w:t>Th’Ancient</w:t>
      </w:r>
      <w:proofErr w:type="spellEnd"/>
      <w:r w:rsidR="00805970" w:rsidRPr="009A6F2D">
        <w:rPr>
          <w:rFonts w:ascii="Times New Roman" w:hAnsi="Times New Roman" w:cs="Times New Roman"/>
          <w:noProof w:val="0"/>
          <w:sz w:val="24"/>
          <w:szCs w:val="24"/>
        </w:rPr>
        <w:t xml:space="preserve"> Distaff” and “Whirling Spindle”: Measuring the Contribution of Spinning to Household Earnings and the National Economy in England, 1550–1770’, </w:t>
      </w:r>
      <w:r w:rsidR="00805970" w:rsidRPr="009A6F2D">
        <w:rPr>
          <w:rFonts w:ascii="Times New Roman" w:hAnsi="Times New Roman" w:cs="Times New Roman"/>
          <w:i/>
          <w:noProof w:val="0"/>
          <w:sz w:val="24"/>
          <w:szCs w:val="24"/>
        </w:rPr>
        <w:t>Economic History Review</w:t>
      </w:r>
      <w:r w:rsidR="009E4044" w:rsidRPr="009A6F2D">
        <w:rPr>
          <w:rFonts w:ascii="Times New Roman" w:hAnsi="Times New Roman" w:cs="Times New Roman"/>
          <w:noProof w:val="0"/>
          <w:sz w:val="24"/>
          <w:szCs w:val="24"/>
        </w:rPr>
        <w:t>, lxv, 2 (2012);</w:t>
      </w:r>
      <w:r w:rsidR="00805970" w:rsidRPr="009A6F2D">
        <w:rPr>
          <w:rFonts w:ascii="Times New Roman" w:hAnsi="Times New Roman" w:cs="Times New Roman"/>
          <w:noProof w:val="0"/>
          <w:sz w:val="24"/>
          <w:szCs w:val="24"/>
        </w:rPr>
        <w:t xml:space="preserve"> </w:t>
      </w:r>
      <w:r w:rsidR="009A6F2D" w:rsidRPr="009A6F2D">
        <w:rPr>
          <w:rFonts w:ascii="Times New Roman" w:hAnsi="Times New Roman" w:cs="Times New Roman"/>
          <w:noProof w:val="0"/>
          <w:sz w:val="24"/>
          <w:szCs w:val="24"/>
        </w:rPr>
        <w:t>Figures 1–4 above.</w:t>
      </w:r>
    </w:p>
    <w:p w14:paraId="0DC13AFD" w14:textId="77777777" w:rsidR="00360D70" w:rsidRPr="00805970" w:rsidRDefault="00360D70" w:rsidP="00805970">
      <w:pPr>
        <w:spacing w:line="480" w:lineRule="auto"/>
        <w:rPr>
          <w:rFonts w:ascii="Times New Roman" w:hAnsi="Times New Roman" w:cs="Times New Roman"/>
          <w:noProof w:val="0"/>
          <w:sz w:val="24"/>
          <w:szCs w:val="24"/>
        </w:rPr>
      </w:pPr>
    </w:p>
    <w:sectPr w:rsidR="00360D70" w:rsidRPr="00805970" w:rsidSect="00805970"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LB" w:date="2024-08-07T09:56:00Z" w:initials="LB">
    <w:p w14:paraId="4900BD2C" w14:textId="2ED52191" w:rsidR="00843DC4" w:rsidRDefault="00843DC4">
      <w:pPr>
        <w:pStyle w:val="CommentText"/>
      </w:pPr>
      <w:r>
        <w:rPr>
          <w:rStyle w:val="CommentReference"/>
        </w:rPr>
        <w:annotationRef/>
      </w:r>
      <w:r>
        <w:t>TS: appendix table heading, as for Table A1</w:t>
      </w:r>
    </w:p>
  </w:comment>
  <w:comment w:id="2" w:author="LB" w:date="2024-08-07T10:40:00Z" w:initials="LB">
    <w:p w14:paraId="3C6622D7" w14:textId="77777777" w:rsidR="00843DC4" w:rsidRDefault="00843DC4">
      <w:pPr>
        <w:pStyle w:val="CommentText"/>
      </w:pPr>
      <w:r>
        <w:rPr>
          <w:rStyle w:val="CommentReference"/>
        </w:rPr>
        <w:annotationRef/>
      </w:r>
      <w:r>
        <w:t>TS: ½-pt rules above and below table. ¼-pt rule under column</w:t>
      </w:r>
      <w:r w:rsidR="00504070">
        <w:t xml:space="preserve"> heading</w:t>
      </w:r>
      <w:r>
        <w:t>s, and another ¼-pt rule to span the four right-hand columns, as typed</w:t>
      </w:r>
    </w:p>
  </w:comment>
  <w:comment w:id="3" w:author="LB" w:date="2024-08-07T09:58:00Z" w:initials="LB">
    <w:p w14:paraId="3553747D" w14:textId="77777777" w:rsidR="00843DC4" w:rsidRDefault="00843DC4">
      <w:pPr>
        <w:pStyle w:val="CommentText"/>
      </w:pPr>
      <w:r>
        <w:rPr>
          <w:rStyle w:val="CommentReference"/>
        </w:rPr>
        <w:annotationRef/>
      </w:r>
      <w:r>
        <w:t>TS: stub heading and stub ranged left</w:t>
      </w:r>
    </w:p>
  </w:comment>
  <w:comment w:id="4" w:author="LB" w:date="2024-08-08T11:02:00Z" w:initials="LB">
    <w:p w14:paraId="5DA8A5D7" w14:textId="77777777" w:rsidR="00843DC4" w:rsidRDefault="00843DC4">
      <w:pPr>
        <w:pStyle w:val="CommentText"/>
      </w:pPr>
      <w:r>
        <w:rPr>
          <w:rStyle w:val="CommentReference"/>
        </w:rPr>
        <w:annotationRef/>
      </w:r>
      <w:r w:rsidR="003F6E01">
        <w:t xml:space="preserve">TS: column headings ranged left </w:t>
      </w:r>
      <w:r>
        <w:t>over columns</w:t>
      </w:r>
      <w:r w:rsidR="00504070">
        <w:t>, top-aligned</w:t>
      </w:r>
    </w:p>
  </w:comment>
  <w:comment w:id="5" w:author="LB" w:date="2024-08-08T11:17:00Z" w:initials="LB">
    <w:p w14:paraId="29EF1F6B" w14:textId="77777777" w:rsidR="00843DC4" w:rsidRDefault="00843DC4">
      <w:pPr>
        <w:pStyle w:val="CommentText"/>
      </w:pPr>
      <w:r>
        <w:rPr>
          <w:rStyle w:val="CommentReference"/>
        </w:rPr>
        <w:annotationRef/>
      </w:r>
      <w:r>
        <w:t xml:space="preserve">TS: </w:t>
      </w:r>
      <w:r w:rsidR="00821AE9">
        <w:t>please range right down columns of figures</w:t>
      </w:r>
      <w:r w:rsidR="003F6E01">
        <w:t xml:space="preserve">, the whole column ranged left </w:t>
      </w:r>
      <w:r>
        <w:t>under column head</w:t>
      </w:r>
    </w:p>
  </w:comment>
  <w:comment w:id="6" w:author="LB" w:date="2024-08-07T10:03:00Z" w:initials="LB">
    <w:p w14:paraId="55951E71" w14:textId="77777777" w:rsidR="00843DC4" w:rsidRPr="00843DC4" w:rsidRDefault="00843DC4">
      <w:pPr>
        <w:pStyle w:val="CommentText"/>
      </w:pPr>
      <w:r>
        <w:rPr>
          <w:rStyle w:val="CommentReference"/>
        </w:rPr>
        <w:annotationRef/>
      </w:r>
      <w:r>
        <w:t xml:space="preserve">TS: Note to table, to be set with 3-pt space between table and note (as typed). Em-space, asterisk, </w:t>
      </w:r>
      <w:r>
        <w:rPr>
          <w:i/>
        </w:rPr>
        <w:t>Note</w:t>
      </w:r>
      <w:r>
        <w:t>, colon. Turns full left as typed</w:t>
      </w:r>
    </w:p>
  </w:comment>
  <w:comment w:id="7" w:author="LB" w:date="2024-08-07T10:04:00Z" w:initials="LB">
    <w:p w14:paraId="54BDB555" w14:textId="77777777" w:rsidR="00843DC4" w:rsidRDefault="00843DC4">
      <w:pPr>
        <w:pStyle w:val="CommentText"/>
      </w:pPr>
      <w:r>
        <w:rPr>
          <w:rStyle w:val="CommentReference"/>
        </w:rPr>
        <w:annotationRef/>
      </w:r>
      <w:r>
        <w:t>TS: Source note as for Note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CF16644" w15:done="0"/>
  <w15:commentEx w15:paraId="4900BD2C" w15:done="0"/>
  <w15:commentEx w15:paraId="3C6622D7" w15:done="0"/>
  <w15:commentEx w15:paraId="3553747D" w15:done="0"/>
  <w15:commentEx w15:paraId="5DA8A5D7" w15:done="0"/>
  <w15:commentEx w15:paraId="29EF1F6B" w15:done="0"/>
  <w15:commentEx w15:paraId="55951E71" w15:done="0"/>
  <w15:commentEx w15:paraId="54BDB555" w15:done="0"/>
  <w15:commentEx w15:paraId="36FF2D5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DBE298A" w16cex:dateUtc="2024-10-08T12:28:00Z"/>
  <w16cex:commentExtensible w16cex:durableId="73F391C9" w16cex:dateUtc="2024-10-08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CF16644" w16cid:durableId="7DBE298A"/>
  <w16cid:commentId w16cid:paraId="4900BD2C" w16cid:durableId="30C16108"/>
  <w16cid:commentId w16cid:paraId="3C6622D7" w16cid:durableId="470BE193"/>
  <w16cid:commentId w16cid:paraId="3553747D" w16cid:durableId="72999D12"/>
  <w16cid:commentId w16cid:paraId="5DA8A5D7" w16cid:durableId="2C138DF0"/>
  <w16cid:commentId w16cid:paraId="29EF1F6B" w16cid:durableId="6C529338"/>
  <w16cid:commentId w16cid:paraId="55951E71" w16cid:durableId="7916E328"/>
  <w16cid:commentId w16cid:paraId="54BDB555" w16cid:durableId="01545328"/>
  <w16cid:commentId w16cid:paraId="36FF2D5D" w16cid:durableId="73F391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2FA64" w14:textId="77777777" w:rsidR="009A631E" w:rsidRDefault="009A631E" w:rsidP="00805970">
      <w:r>
        <w:separator/>
      </w:r>
    </w:p>
  </w:endnote>
  <w:endnote w:type="continuationSeparator" w:id="0">
    <w:p w14:paraId="65A50C03" w14:textId="77777777" w:rsidR="009A631E" w:rsidRDefault="009A631E" w:rsidP="0080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26D18" w14:textId="77777777" w:rsidR="009A631E" w:rsidRDefault="009A631E" w:rsidP="00805970">
      <w:r>
        <w:separator/>
      </w:r>
    </w:p>
  </w:footnote>
  <w:footnote w:type="continuationSeparator" w:id="0">
    <w:p w14:paraId="47D34C21" w14:textId="77777777" w:rsidR="009A631E" w:rsidRDefault="009A631E" w:rsidP="0080597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E8B"/>
    <w:rsid w:val="00005708"/>
    <w:rsid w:val="00032F2F"/>
    <w:rsid w:val="000C4109"/>
    <w:rsid w:val="0013551E"/>
    <w:rsid w:val="0017435B"/>
    <w:rsid w:val="001A18C6"/>
    <w:rsid w:val="00206187"/>
    <w:rsid w:val="00277E8B"/>
    <w:rsid w:val="002B2AEA"/>
    <w:rsid w:val="00317635"/>
    <w:rsid w:val="00360D70"/>
    <w:rsid w:val="00375235"/>
    <w:rsid w:val="00385462"/>
    <w:rsid w:val="003B0FA9"/>
    <w:rsid w:val="003F6E01"/>
    <w:rsid w:val="00410BA6"/>
    <w:rsid w:val="004531CB"/>
    <w:rsid w:val="00455D5F"/>
    <w:rsid w:val="00467A22"/>
    <w:rsid w:val="00476690"/>
    <w:rsid w:val="00476722"/>
    <w:rsid w:val="004A5F3A"/>
    <w:rsid w:val="004B2608"/>
    <w:rsid w:val="004C16F9"/>
    <w:rsid w:val="00504070"/>
    <w:rsid w:val="00504AF3"/>
    <w:rsid w:val="005668E4"/>
    <w:rsid w:val="005A0E39"/>
    <w:rsid w:val="005D31C6"/>
    <w:rsid w:val="005D55A9"/>
    <w:rsid w:val="005F1971"/>
    <w:rsid w:val="006030FC"/>
    <w:rsid w:val="006211C2"/>
    <w:rsid w:val="006245A2"/>
    <w:rsid w:val="00671D27"/>
    <w:rsid w:val="00676155"/>
    <w:rsid w:val="00686C0A"/>
    <w:rsid w:val="00687410"/>
    <w:rsid w:val="006D07A7"/>
    <w:rsid w:val="006F0FED"/>
    <w:rsid w:val="007434AD"/>
    <w:rsid w:val="00757235"/>
    <w:rsid w:val="00783E3A"/>
    <w:rsid w:val="00786816"/>
    <w:rsid w:val="007B3CA2"/>
    <w:rsid w:val="007D03B5"/>
    <w:rsid w:val="007F1B93"/>
    <w:rsid w:val="00805970"/>
    <w:rsid w:val="00816BF4"/>
    <w:rsid w:val="00821AE9"/>
    <w:rsid w:val="00843DC4"/>
    <w:rsid w:val="00850F04"/>
    <w:rsid w:val="00886E9F"/>
    <w:rsid w:val="008A31B4"/>
    <w:rsid w:val="008F094D"/>
    <w:rsid w:val="00902449"/>
    <w:rsid w:val="009032AB"/>
    <w:rsid w:val="009262AD"/>
    <w:rsid w:val="00971979"/>
    <w:rsid w:val="00980A22"/>
    <w:rsid w:val="009A18CF"/>
    <w:rsid w:val="009A631E"/>
    <w:rsid w:val="009A6F2D"/>
    <w:rsid w:val="009C498D"/>
    <w:rsid w:val="009E4044"/>
    <w:rsid w:val="009F0201"/>
    <w:rsid w:val="009F2F4D"/>
    <w:rsid w:val="00A36181"/>
    <w:rsid w:val="00A45741"/>
    <w:rsid w:val="00A575B2"/>
    <w:rsid w:val="00AA66BC"/>
    <w:rsid w:val="00AB1BED"/>
    <w:rsid w:val="00AB22BA"/>
    <w:rsid w:val="00AC7263"/>
    <w:rsid w:val="00AD75B2"/>
    <w:rsid w:val="00AE632D"/>
    <w:rsid w:val="00B128D2"/>
    <w:rsid w:val="00B57EE7"/>
    <w:rsid w:val="00B86396"/>
    <w:rsid w:val="00B935D2"/>
    <w:rsid w:val="00BA1779"/>
    <w:rsid w:val="00BE2E01"/>
    <w:rsid w:val="00BE5F68"/>
    <w:rsid w:val="00C0074A"/>
    <w:rsid w:val="00C076BE"/>
    <w:rsid w:val="00C6374E"/>
    <w:rsid w:val="00C71135"/>
    <w:rsid w:val="00CA0EAD"/>
    <w:rsid w:val="00CD03D2"/>
    <w:rsid w:val="00D022CF"/>
    <w:rsid w:val="00D02877"/>
    <w:rsid w:val="00D065BC"/>
    <w:rsid w:val="00D40FB1"/>
    <w:rsid w:val="00D4398D"/>
    <w:rsid w:val="00D74FE2"/>
    <w:rsid w:val="00E052D8"/>
    <w:rsid w:val="00E6193C"/>
    <w:rsid w:val="00EB3857"/>
    <w:rsid w:val="00EC266D"/>
    <w:rsid w:val="00EF54F6"/>
    <w:rsid w:val="00F05107"/>
    <w:rsid w:val="00F215D0"/>
    <w:rsid w:val="00F4103F"/>
    <w:rsid w:val="00F422F3"/>
    <w:rsid w:val="00F45086"/>
    <w:rsid w:val="00F47A20"/>
    <w:rsid w:val="00F73AB8"/>
    <w:rsid w:val="00F85411"/>
    <w:rsid w:val="00FA63BA"/>
    <w:rsid w:val="00FB6C7C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C4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277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59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5970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8059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5970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843D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3D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3DC4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D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DC4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D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DC4"/>
    <w:rPr>
      <w:rFonts w:ascii="Tahoma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783E3A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277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59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5970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8059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5970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843D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3D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3DC4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D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DC4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D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DC4"/>
    <w:rPr>
      <w:rFonts w:ascii="Tahoma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783E3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2</cp:revision>
  <dcterms:created xsi:type="dcterms:W3CDTF">2024-11-02T11:25:00Z</dcterms:created>
  <dcterms:modified xsi:type="dcterms:W3CDTF">2024-11-02T11:25:00Z</dcterms:modified>
</cp:coreProperties>
</file>